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F1" w:rsidRPr="00220AFE" w:rsidRDefault="006A1AF1" w:rsidP="00D31CB7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 xml:space="preserve">Приложение 1 к документации </w:t>
      </w:r>
      <w:bookmarkStart w:id="0" w:name="_GoBack"/>
      <w:bookmarkEnd w:id="0"/>
      <w:r w:rsidRPr="00220AFE">
        <w:rPr>
          <w:rFonts w:ascii="Tahoma" w:hAnsi="Tahoma" w:cs="Tahoma"/>
          <w:sz w:val="20"/>
          <w:szCs w:val="20"/>
        </w:rPr>
        <w:t>о закупке</w:t>
      </w: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20AF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CD36BF" w:rsidRPr="00220AFE" w:rsidRDefault="00CD36BF" w:rsidP="00D31CB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220AFE">
        <w:rPr>
          <w:rFonts w:ascii="Tahoma" w:hAnsi="Tahoma" w:cs="Tahoma"/>
          <w:b/>
          <w:sz w:val="20"/>
          <w:szCs w:val="20"/>
        </w:rPr>
        <w:t>н</w:t>
      </w:r>
      <w:r w:rsidR="006A1AF1" w:rsidRPr="00220AFE">
        <w:rPr>
          <w:rFonts w:ascii="Tahoma" w:hAnsi="Tahoma" w:cs="Tahoma"/>
          <w:b/>
          <w:sz w:val="20"/>
          <w:szCs w:val="20"/>
        </w:rPr>
        <w:t xml:space="preserve">а </w:t>
      </w:r>
      <w:r w:rsidRPr="00220AFE">
        <w:rPr>
          <w:rFonts w:ascii="Tahoma" w:hAnsi="Tahoma" w:cs="Tahoma"/>
          <w:b/>
          <w:sz w:val="20"/>
          <w:szCs w:val="20"/>
        </w:rPr>
        <w:t>о</w:t>
      </w:r>
      <w:r w:rsidR="006A1AF1" w:rsidRPr="00220AFE">
        <w:rPr>
          <w:rFonts w:ascii="Tahoma" w:hAnsi="Tahoma" w:cs="Tahoma"/>
          <w:b/>
          <w:sz w:val="20"/>
          <w:szCs w:val="20"/>
        </w:rPr>
        <w:t xml:space="preserve">казание услуг по технической поддержке </w:t>
      </w:r>
      <w:r w:rsidR="001E4478" w:rsidRPr="00220AFE">
        <w:rPr>
          <w:rFonts w:ascii="Tahoma" w:hAnsi="Tahoma" w:cs="Tahoma"/>
          <w:b/>
          <w:sz w:val="20"/>
          <w:szCs w:val="20"/>
        </w:rPr>
        <w:t xml:space="preserve">и доработке </w:t>
      </w:r>
      <w:r w:rsidR="006A1AF1" w:rsidRPr="00220AFE">
        <w:rPr>
          <w:rFonts w:ascii="Tahoma" w:hAnsi="Tahoma" w:cs="Tahoma"/>
          <w:b/>
          <w:sz w:val="20"/>
          <w:szCs w:val="20"/>
        </w:rPr>
        <w:t>системы ITSM</w:t>
      </w:r>
      <w:r w:rsidR="006A1AF1" w:rsidRPr="00220AFE">
        <w:rPr>
          <w:rFonts w:ascii="Tahoma" w:hAnsi="Tahoma" w:cs="Tahoma"/>
          <w:b/>
          <w:i/>
          <w:sz w:val="20"/>
          <w:szCs w:val="20"/>
        </w:rPr>
        <w:t xml:space="preserve"> </w:t>
      </w: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20AFE">
        <w:rPr>
          <w:rFonts w:ascii="Tahoma" w:hAnsi="Tahoma" w:cs="Tahoma"/>
          <w:b/>
          <w:sz w:val="20"/>
          <w:szCs w:val="20"/>
        </w:rPr>
        <w:t>для</w:t>
      </w:r>
      <w:r w:rsidRPr="00220AF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220AFE">
        <w:rPr>
          <w:rFonts w:ascii="Tahoma" w:hAnsi="Tahoma" w:cs="Tahoma"/>
          <w:b/>
          <w:sz w:val="20"/>
          <w:szCs w:val="20"/>
        </w:rPr>
        <w:t>нужд</w:t>
      </w:r>
      <w:r w:rsidRPr="00220AF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220AFE">
        <w:rPr>
          <w:rFonts w:ascii="Tahoma" w:hAnsi="Tahoma" w:cs="Tahoma"/>
          <w:b/>
          <w:sz w:val="20"/>
          <w:szCs w:val="20"/>
        </w:rPr>
        <w:t xml:space="preserve">АО </w:t>
      </w:r>
      <w:r w:rsidR="00A16AF9" w:rsidRPr="00220AFE">
        <w:rPr>
          <w:rFonts w:ascii="Tahoma" w:hAnsi="Tahoma" w:cs="Tahoma"/>
          <w:b/>
          <w:sz w:val="20"/>
          <w:szCs w:val="20"/>
        </w:rPr>
        <w:t>«ЭнергосбыТ</w:t>
      </w:r>
      <w:r w:rsidRPr="00220AFE">
        <w:rPr>
          <w:rFonts w:ascii="Tahoma" w:hAnsi="Tahoma" w:cs="Tahoma"/>
          <w:b/>
          <w:sz w:val="20"/>
          <w:szCs w:val="20"/>
        </w:rPr>
        <w:t xml:space="preserve"> Плюс</w:t>
      </w:r>
      <w:r w:rsidR="00A16AF9" w:rsidRPr="00220AFE">
        <w:rPr>
          <w:rFonts w:ascii="Tahoma" w:hAnsi="Tahoma" w:cs="Tahoma"/>
          <w:b/>
          <w:sz w:val="20"/>
          <w:szCs w:val="20"/>
        </w:rPr>
        <w:t>»</w:t>
      </w:r>
      <w:r w:rsidRPr="00220AF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D31CB7" w:rsidRPr="00220AFE" w:rsidRDefault="00D31CB7" w:rsidP="00C17765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F73D75" w:rsidRPr="00220AFE" w:rsidRDefault="00F73D75" w:rsidP="00F73D7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220AFE">
        <w:rPr>
          <w:rFonts w:ascii="Tahoma" w:hAnsi="Tahoma" w:cs="Tahoma"/>
          <w:b/>
          <w:sz w:val="20"/>
          <w:szCs w:val="20"/>
        </w:rPr>
        <w:t>Общие сведения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Цели сопровождения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Основными целями оказания услуг по технической поддержке </w:t>
      </w:r>
      <w:r w:rsidR="00204A54" w:rsidRPr="00220AFE">
        <w:rPr>
          <w:rFonts w:ascii="Tahoma" w:eastAsiaTheme="minorEastAsia" w:hAnsi="Tahoma" w:cs="Tahoma"/>
          <w:sz w:val="20"/>
          <w:szCs w:val="20"/>
          <w:lang w:eastAsia="ru-RU"/>
        </w:rPr>
        <w:t>и доработке с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истемы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(далее Система) являются обеспечение её бесперебойного функционирования, обновление руководств пользователя</w:t>
      </w:r>
      <w:r w:rsidR="006F51B5"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 администратора, а также оперативное решение проблем, возникающих у пользователей при эксплуатации Системы.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21C9A" w:rsidRPr="00220AFE" w:rsidRDefault="008164BF" w:rsidP="00F57109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="SimSun" w:hAnsi="Tahoma" w:cs="Tahoma"/>
          <w:b/>
          <w:sz w:val="20"/>
          <w:szCs w:val="20"/>
          <w:lang w:eastAsia="zh-CN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Заказчик 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="SimSun" w:hAnsi="Tahoma" w:cs="Tahoma"/>
          <w:sz w:val="20"/>
          <w:szCs w:val="20"/>
          <w:lang w:eastAsia="zh-CN"/>
        </w:rPr>
      </w:pPr>
      <w:r w:rsidRPr="00220AFE">
        <w:rPr>
          <w:rFonts w:ascii="Tahoma" w:eastAsia="SimSun" w:hAnsi="Tahoma" w:cs="Tahoma"/>
          <w:sz w:val="20"/>
          <w:szCs w:val="20"/>
          <w:lang w:eastAsia="zh-CN"/>
        </w:rPr>
        <w:t>АО «</w:t>
      </w:r>
      <w:r w:rsidRPr="00220AFE">
        <w:rPr>
          <w:rFonts w:ascii="Tahoma" w:eastAsiaTheme="minorEastAsia" w:hAnsi="Tahoma" w:cs="Tahoma"/>
          <w:sz w:val="20"/>
          <w:szCs w:val="20"/>
        </w:rPr>
        <w:t>ЭнергосбыТ</w:t>
      </w:r>
      <w:r w:rsidRPr="00220AFE">
        <w:rPr>
          <w:rFonts w:ascii="Tahoma" w:eastAsia="SimSun" w:hAnsi="Tahoma" w:cs="Tahoma"/>
          <w:sz w:val="20"/>
          <w:szCs w:val="20"/>
          <w:lang w:eastAsia="zh-CN"/>
        </w:rPr>
        <w:t xml:space="preserve"> Плюс», далее по тексту (Заказчик).</w:t>
      </w:r>
    </w:p>
    <w:p w:rsidR="00396D44" w:rsidRPr="00220AFE" w:rsidRDefault="00396D44" w:rsidP="00D21C9A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="SimSun" w:hAnsi="Tahoma" w:cs="Tahoma"/>
          <w:b/>
          <w:sz w:val="20"/>
          <w:szCs w:val="20"/>
          <w:lang w:eastAsia="zh-CN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Требования к организационному объему услуг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Услуги оказываются для нужд всех филиалов АО «ЭнергосбыТ Плюс»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Требования к срокам </w:t>
      </w:r>
      <w:bookmarkStart w:id="1" w:name="_Toc508800633"/>
      <w:r w:rsidR="00D21C9A" w:rsidRPr="00220AFE">
        <w:rPr>
          <w:rFonts w:ascii="Tahoma" w:eastAsiaTheme="minorEastAsia" w:hAnsi="Tahoma" w:cs="Tahoma"/>
          <w:b/>
          <w:sz w:val="20"/>
          <w:szCs w:val="20"/>
        </w:rPr>
        <w:t>оказания услуг</w:t>
      </w:r>
    </w:p>
    <w:bookmarkEnd w:id="1"/>
    <w:p w:rsidR="008164BF" w:rsidRPr="00220AFE" w:rsidRDefault="00DE4586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Общий срок оказания Услуг: в течение 12 месяцев с даты подписания Договора</w:t>
      </w:r>
      <w:r w:rsidR="00D21C9A" w:rsidRPr="00220AFE">
        <w:rPr>
          <w:rFonts w:ascii="Tahoma" w:eastAsiaTheme="minorEastAsia" w:hAnsi="Tahoma" w:cs="Tahoma"/>
          <w:sz w:val="20"/>
          <w:szCs w:val="20"/>
        </w:rPr>
        <w:t>.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637CB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Требования к безопасности</w:t>
      </w:r>
    </w:p>
    <w:p w:rsidR="00ED07BC" w:rsidRPr="00220AFE" w:rsidRDefault="00ED07BC" w:rsidP="00637CBD">
      <w:pPr>
        <w:tabs>
          <w:tab w:val="left" w:pos="317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Требования к исполнителю при осуществлении удаленного доступа к инфраструктуре заказчика:</w:t>
      </w:r>
    </w:p>
    <w:p w:rsidR="00ED07BC" w:rsidRPr="00220AFE" w:rsidRDefault="00ED07BC" w:rsidP="00637CBD">
      <w:pPr>
        <w:pStyle w:val="a4"/>
        <w:numPr>
          <w:ilvl w:val="2"/>
          <w:numId w:val="10"/>
        </w:numPr>
        <w:tabs>
          <w:tab w:val="left" w:pos="317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>Подрядчик предоставляет перечень IP-адресов, принадлежащих подрядчику, с которых планируется производить удаленное подключение.</w:t>
      </w:r>
    </w:p>
    <w:p w:rsidR="00ED07BC" w:rsidRPr="00220AFE" w:rsidRDefault="00D9318B" w:rsidP="00637CBD">
      <w:pPr>
        <w:pStyle w:val="a4"/>
        <w:numPr>
          <w:ilvl w:val="2"/>
          <w:numId w:val="10"/>
        </w:numPr>
        <w:tabs>
          <w:tab w:val="left" w:pos="317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sz w:val="20"/>
          <w:szCs w:val="20"/>
          <w:lang w:eastAsia="ru-RU"/>
        </w:rPr>
        <w:t>Подрядчик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</w:t>
      </w:r>
    </w:p>
    <w:p w:rsidR="00ED07BC" w:rsidRPr="00220AFE" w:rsidRDefault="00D9318B" w:rsidP="00637CBD">
      <w:pPr>
        <w:pStyle w:val="a4"/>
        <w:numPr>
          <w:ilvl w:val="2"/>
          <w:numId w:val="10"/>
        </w:numPr>
        <w:tabs>
          <w:tab w:val="left" w:pos="317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sz w:val="20"/>
          <w:szCs w:val="20"/>
          <w:lang w:eastAsia="ru-RU"/>
        </w:rPr>
        <w:t>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ED07BC" w:rsidRPr="00220AFE" w:rsidRDefault="00ED07BC" w:rsidP="00637CBD">
      <w:pPr>
        <w:numPr>
          <w:ilvl w:val="0"/>
          <w:numId w:val="20"/>
        </w:numPr>
        <w:tabs>
          <w:tab w:val="left" w:pos="317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производителя;</w:t>
      </w:r>
    </w:p>
    <w:p w:rsidR="00ED07BC" w:rsidRPr="00220AFE" w:rsidRDefault="00ED07BC" w:rsidP="00637CBD">
      <w:pPr>
        <w:numPr>
          <w:ilvl w:val="0"/>
          <w:numId w:val="20"/>
        </w:numPr>
        <w:tabs>
          <w:tab w:val="left" w:pos="317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>на оборудовании должны быть установлены последние обновления для общесистемного программного обеспечения, включая обновления безопасности;</w:t>
      </w:r>
    </w:p>
    <w:p w:rsidR="00ED07BC" w:rsidRPr="00220AFE" w:rsidRDefault="00ED07BC" w:rsidP="00637CBD">
      <w:pPr>
        <w:numPr>
          <w:ilvl w:val="0"/>
          <w:numId w:val="20"/>
        </w:numPr>
        <w:tabs>
          <w:tab w:val="left" w:pos="317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ED07BC" w:rsidRPr="00220AFE" w:rsidRDefault="00ED07BC" w:rsidP="00637CBD">
      <w:pPr>
        <w:numPr>
          <w:ilvl w:val="0"/>
          <w:numId w:val="20"/>
        </w:numPr>
        <w:tabs>
          <w:tab w:val="left" w:pos="317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</w:t>
      </w:r>
      <w:r w:rsidRPr="00220AFE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Подписать соглашение о конфиденциальности и неразглашении информации (NDA). </w:t>
      </w:r>
    </w:p>
    <w:p w:rsidR="00ED07BC" w:rsidRPr="00220AFE" w:rsidRDefault="00ED07BC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Удаленный доступ сторонних пользователей к информационным и/или технологическим ресурсам Общества, являющимся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на территориальных площадках Общества.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Для организации удаленного доступа используется решение, определенное Заказчиком.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Работники Исполнителя, которым предоставлен удаленный доступ может использовать его только для выполнения своих служебных обязанностей.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Авторизация работника Исполнителя должна осуществляться с учетной записью, выданной Заказчиком, принадлежащей этому работнику. Получение доступа к сервисам Заказчика под чужой учетной записью не допускается и влечет регистрацию инцидента ИБ с последующим расследованием.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Решение, определенное Заказчиком для организации удаленного доступа, является службой, контролируемой Исполнителем. Это значит, что Исполнитель ответственен за выбор провайдера услуг Интернет, координацию установки оборудования и ПО, оплату соответствующих тарифов.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Оборудование, с которого Исполнитель осуществляет доступ к ресурсам Заказчика, настраивается Исполнителем.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Работник Исполнителя не должен допускать неавторизованного доступа других пользователей к информационным ресурсам Заказчика.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Запрещается подключение к ресурсам Заказчика с IP-адресов, VPN-провайдеров, узлов TOR и подсетей хостинговых компаний, расположенных за пределами РФ.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Заказчик оставляет за собой право принимать адекватные меры с целью защиты своих информационных, программных и системных активов,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доступа.</w:t>
      </w:r>
    </w:p>
    <w:p w:rsidR="00ED07BC" w:rsidRPr="00220AFE" w:rsidRDefault="00D9318B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Меры защиты могут включать периодические проверки использования удаленного доступа к ресурсам Заказчика, а также меры по ограничению удаленного доступа в случае выявлении нарушений настоящих требований.</w:t>
      </w:r>
    </w:p>
    <w:p w:rsidR="00ED07BC" w:rsidRPr="00220AFE" w:rsidRDefault="00ED07BC" w:rsidP="00637CBD">
      <w:pPr>
        <w:pStyle w:val="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Условия предоставления удаленного доступа</w:t>
      </w:r>
    </w:p>
    <w:p w:rsidR="00ED07BC" w:rsidRPr="00220AFE" w:rsidRDefault="00ED07BC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Исполнитель должен предоставить чек-лист проведения оценки состояния информационной безопасности (Приложение </w:t>
      </w:r>
      <w:r w:rsidR="00D17131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2</w:t>
      </w: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), на основании которого Заказчик оценивает возможность предоставления удаленного доступа. Исполнитель по запросу Заказчика должен предоставить копии (выдержки) документов, указанных в чек-листе проведения оценки состояния информационной безопасности.</w:t>
      </w:r>
    </w:p>
    <w:p w:rsidR="00ED07BC" w:rsidRPr="00220AFE" w:rsidRDefault="00D17131" w:rsidP="00637CBD">
      <w:pPr>
        <w:pStyle w:val="2"/>
        <w:numPr>
          <w:ilvl w:val="2"/>
          <w:numId w:val="10"/>
        </w:numPr>
        <w:tabs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 xml:space="preserve"> </w:t>
      </w:r>
      <w:r w:rsidR="00ED07BC"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По согласованию с Исполнителем, Заказчик с помощью технических средств может проводить проверки сведений, указанных в чек-листе, а также следующих требований, предъявляемых к оборудованию (компьютер, ноутбук, мобильное устройство) Исполнителя, которое использу</w:t>
      </w: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ется для удаленного подключения:</w:t>
      </w:r>
    </w:p>
    <w:p w:rsidR="00ED07BC" w:rsidRPr="00220AFE" w:rsidRDefault="00ED07BC" w:rsidP="00637CBD">
      <w:pPr>
        <w:pStyle w:val="2"/>
        <w:numPr>
          <w:ilvl w:val="0"/>
          <w:numId w:val="22"/>
        </w:numPr>
        <w:tabs>
          <w:tab w:val="left" w:pos="317"/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lastRenderedPageBreak/>
        <w:t>на оборудовании должно быть установлено лицензионное общесистемное программное обеспечение, находящееся на поддержке производителя;</w:t>
      </w:r>
    </w:p>
    <w:p w:rsidR="00ED07BC" w:rsidRPr="00220AFE" w:rsidRDefault="00ED07BC" w:rsidP="00637CBD">
      <w:pPr>
        <w:pStyle w:val="2"/>
        <w:numPr>
          <w:ilvl w:val="0"/>
          <w:numId w:val="22"/>
        </w:numPr>
        <w:tabs>
          <w:tab w:val="left" w:pos="317"/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на оборудовании должны быть установлены последние обновления для общесистемного программного обеспечения, включая обновления безопасности;</w:t>
      </w:r>
    </w:p>
    <w:p w:rsidR="00ED07BC" w:rsidRPr="00220AFE" w:rsidRDefault="00ED07BC" w:rsidP="00637CBD">
      <w:pPr>
        <w:pStyle w:val="2"/>
        <w:numPr>
          <w:ilvl w:val="0"/>
          <w:numId w:val="22"/>
        </w:numPr>
        <w:tabs>
          <w:tab w:val="left" w:pos="317"/>
          <w:tab w:val="left" w:pos="567"/>
        </w:tabs>
        <w:spacing w:before="0" w:after="0" w:line="240" w:lineRule="auto"/>
        <w:ind w:left="0" w:firstLine="0"/>
        <w:rPr>
          <w:rFonts w:ascii="Tahoma" w:eastAsia="Times New Roman" w:hAnsi="Tahoma" w:cs="Tahoma"/>
          <w:b w:val="0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b w:val="0"/>
          <w:sz w:val="20"/>
          <w:szCs w:val="20"/>
          <w:lang w:eastAsia="ru-RU"/>
        </w:rPr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637CBD" w:rsidRPr="00220AFE" w:rsidRDefault="00ED07BC" w:rsidP="00637CBD">
      <w:pPr>
        <w:pStyle w:val="a4"/>
        <w:numPr>
          <w:ilvl w:val="2"/>
          <w:numId w:val="10"/>
        </w:numPr>
        <w:tabs>
          <w:tab w:val="left" w:pos="317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</w:t>
      </w:r>
    </w:p>
    <w:p w:rsidR="00ED07BC" w:rsidRPr="00220AFE" w:rsidRDefault="00ED07BC" w:rsidP="00637CBD">
      <w:pPr>
        <w:pStyle w:val="a4"/>
        <w:tabs>
          <w:tab w:val="left" w:pos="317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64BF" w:rsidRPr="00220AFE" w:rsidRDefault="008164BF" w:rsidP="00637CB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Взаимодействие сторон в рамках сопровождения</w:t>
      </w:r>
    </w:p>
    <w:p w:rsidR="008164BF" w:rsidRPr="00220AFE" w:rsidRDefault="008164BF" w:rsidP="00637CB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Основным каналом обращения за технической поддержкой является сама система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, установленная у Заказчика.</w:t>
      </w:r>
    </w:p>
    <w:p w:rsidR="008164BF" w:rsidRPr="00220AFE" w:rsidRDefault="008164BF" w:rsidP="00637CB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случае нарушения работы Системы, невозможности регистрации и/или обработки обращения в Системе ITSM, Заказчик подает обращения на почтовый адрес или телефон Исполнителя, указанные в договоре.</w:t>
      </w:r>
    </w:p>
    <w:p w:rsidR="008164BF" w:rsidRPr="00220AFE" w:rsidRDefault="008164BF" w:rsidP="00637CB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Исполнитель: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Обеспечивает обработку обращений, зарегистрированных в Системе на соответствующую конфигурационную единицу и рабочую группу Исполнителя;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При заключении договора предоставляет дополнительные каналы обращения за технической поддержкой:  </w:t>
      </w:r>
    </w:p>
    <w:p w:rsidR="008164BF" w:rsidRPr="00220AFE" w:rsidRDefault="008164BF" w:rsidP="00F73D75">
      <w:pPr>
        <w:tabs>
          <w:tab w:val="left" w:pos="567"/>
          <w:tab w:val="left" w:leader="underscore" w:pos="3544"/>
          <w:tab w:val="right" w:leader="underscore" w:pos="935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Номер телефона Исполнителя</w:t>
      </w:r>
    </w:p>
    <w:p w:rsidR="008164BF" w:rsidRPr="00220AFE" w:rsidRDefault="008164BF" w:rsidP="00F73D75">
      <w:pPr>
        <w:tabs>
          <w:tab w:val="left" w:pos="567"/>
          <w:tab w:val="left" w:leader="underscore" w:pos="3544"/>
          <w:tab w:val="right" w:leader="underscore" w:pos="935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Адрес электронной почты Исполнителя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Оказывает Услуги, указанные в п.1.8 настоящего Технического задания в соответствии с правилами предоставления технической поддержки (Приложение 1 к настоящему Технического задания)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Если инициатором работ является Исполнитель, то Исполнитель информирует по электронной почте представителя Заказчика о необходимости выполнения определенных действий сотрудниками Исполнителя, регистрирует соответствующую заявку в Системе и отслеживает ход ее исполнения в указанные сроки.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На каждый вопрос Заказчика или на возникающую ошибку в Системе оформляется одно Обращение. 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Отдельные работы по технической поддержке могут требовать временной остановки работы Системы, при которой работа всех Пользователей невозможна. Плановой остановкой считается остановка системы в нерабочее время, о которой Заказчик и Исполнитель договариваются заранее и ставят в известность Пользователей.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Все плановые остановки Исполнитель согласует по электронной почте Заказчику не менее чем за 2 дня до проведения работ. 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Остановки, вызванные нарушениями в работе серверного оборудования и программного обеспечения, считаются неплановыми. В этих случаях Заказчик или Исполнитель извещает другую сторону по телефону или электронной почте о предполагаемом времени и длительности приостановки работы.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Требования к функциональному объёму оказания услуг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 выполняет для Заказчика следующие работы по сопровождению Системы: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Информационно-техническое обслуживание Системы, включающее доступ к закрытому форуму поддержки Итилиум с возможностью скачивания новых версий Системы</w:t>
      </w:r>
      <w:r w:rsidR="0047708E"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="0047708E" w:rsidRPr="00220AFE">
        <w:rPr>
          <w:rFonts w:ascii="Tahoma" w:hAnsi="Tahoma" w:cs="Tahoma"/>
          <w:sz w:val="20"/>
          <w:szCs w:val="20"/>
        </w:rPr>
        <w:t>(ИТС «Итилиум» в наличии)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Обновление Системы по мере выхода новых версий 1С Итилиум </w:t>
      </w:r>
      <w:r w:rsidR="0047708E" w:rsidRPr="00220AFE">
        <w:rPr>
          <w:rFonts w:ascii="Tahoma" w:eastAsiaTheme="minorEastAsia" w:hAnsi="Tahoma" w:cs="Tahoma"/>
          <w:sz w:val="20"/>
          <w:szCs w:val="20"/>
          <w:lang w:eastAsia="ru-RU"/>
        </w:rPr>
        <w:t>по запросу Заказчика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Консультирование пользователей и администраторов по вопросам эксплуатации системы;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Консультирование пользователей и администраторов по решению проблем, возникающих при работе в Системе;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Модификация правил;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Проведение анализа и предоставление инструкций по исправлению ошибок, обусловленных действиями Пользователей;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Устранение последствий ошибок Пользователей и сбоев Системы, в т.ч. восстановление нормального функционирования Системы и нормального состояния хранилища данных;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Устранение ошибок программного обеспечения, приводящих к нарушению функционирования системы в штатном режиме согласно эксплуатационной документации;</w:t>
      </w:r>
    </w:p>
    <w:p w:rsidR="0047708E" w:rsidRPr="00220AFE" w:rsidRDefault="0047708E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Контроль работоспособности компонент Системы, мониторинг объектов хранилища данных;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Восстановление компонент Системы после сбоев – при необходимости;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Мониторинг производительности Системы и предоставление рекомендаций по увеличению быстродействия;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Расширение существующих и разработка новых отчетов;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Расширение существующей функциональности Системы и разработка дополнительной по Заявке Заказчика, их корректная интеграция в действующие механизмы, настройка их полного взаимодействия с типовыми решениями Системы для реализ</w:t>
      </w:r>
      <w:r w:rsidR="00BB16D3" w:rsidRPr="00220AFE">
        <w:rPr>
          <w:rFonts w:ascii="Tahoma" w:eastAsiaTheme="minorEastAsia" w:hAnsi="Tahoma" w:cs="Tahoma"/>
          <w:sz w:val="20"/>
          <w:szCs w:val="20"/>
          <w:lang w:eastAsia="ru-RU"/>
        </w:rPr>
        <w:t>ации бизнес-процессов Заказчика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Настройка обмена данными с различными программами Заказчика штатным функционалом Системы, в том числе, работающими на платформах</w:t>
      </w:r>
      <w:r w:rsidR="00BB16D3" w:rsidRPr="00220AFE">
        <w:rPr>
          <w:rFonts w:ascii="Tahoma" w:eastAsiaTheme="minorEastAsia" w:hAnsi="Tahoma" w:cs="Tahoma"/>
          <w:sz w:val="20"/>
          <w:szCs w:val="20"/>
          <w:lang w:eastAsia="ru-RU"/>
        </w:rPr>
        <w:t>, отличных от платформы Итилиум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Внесение корректировок и обновление пользовательских инструкций по работе с Системой;</w:t>
      </w:r>
    </w:p>
    <w:p w:rsidR="008164BF" w:rsidRPr="00220AFE" w:rsidRDefault="008164BF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Прочие услуги, не указанные выше, связанные с функционированием Системы.</w:t>
      </w:r>
    </w:p>
    <w:p w:rsidR="00D31CB7" w:rsidRPr="00220AFE" w:rsidRDefault="00D31CB7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Объем выполняемых работ по технической поддержке и доработке – не менее 50 часов в сумме за отчетный период (месяц).</w:t>
      </w:r>
    </w:p>
    <w:p w:rsidR="00D31CB7" w:rsidRPr="00220AFE" w:rsidRDefault="00D31CB7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случае разделения часов тех поддержки и часов на доработку в договоре, объем выполняемых работ должен быть распределен:</w:t>
      </w:r>
    </w:p>
    <w:p w:rsidR="00D31CB7" w:rsidRPr="00220AFE" w:rsidRDefault="00D31CB7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технической поддержке не менее 40 часов в сумме за отчетный период (месяц).</w:t>
      </w:r>
    </w:p>
    <w:p w:rsidR="00D31CB7" w:rsidRPr="00220AFE" w:rsidRDefault="00D31CB7" w:rsidP="00F73D75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доработке не менее 10 часов в сумме за отчетный период (месяц). Остаток часов по доработке в отчетном периоде переходит на следующий отчетный период.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Состав работ, исключенных из объема сопровождения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Перечень работ и услуг, исключенных из объема сопровождения и сервисного обслуживания Системы. При необходимости данные услуги могут быть предоставлены по заявке Заказчика на отдельных условиях и по отдельным соглашениям.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Оценка нового программног</w:t>
      </w:r>
      <w:r w:rsidR="00BB2FEE" w:rsidRPr="00220AFE">
        <w:rPr>
          <w:rFonts w:ascii="Tahoma" w:eastAsiaTheme="minorEastAsia" w:hAnsi="Tahoma" w:cs="Tahoma"/>
          <w:sz w:val="20"/>
          <w:szCs w:val="20"/>
          <w:lang w:eastAsia="ru-RU"/>
        </w:rPr>
        <w:t>о обеспечения или оборудования 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Оценка или одобрение нового программного обеспечения или аппаратных средств для использования у Заказчика, включая системы, разработанные третьими лицами или самим Заказчиком;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Приобретение нового программного обеспечения или оборудования </w:t>
      </w:r>
      <w:r w:rsidR="00BB2FEE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Приобретение нового программного обеспечения или аппаратных средств для использования у Заказчика или для применения у Исполнителя в интересах Заказчика. Всё программное обеспечение или аппаратные средства, необходимые Исполнителю для использования при поддержке Заказчика, являются ответственностью Заказчика и приобретаются за его счет;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Лицензиро</w:t>
      </w:r>
      <w:r w:rsidR="00BB2FEE" w:rsidRPr="00220AFE">
        <w:rPr>
          <w:rFonts w:ascii="Tahoma" w:eastAsiaTheme="minorEastAsia" w:hAnsi="Tahoma" w:cs="Tahoma"/>
          <w:sz w:val="20"/>
          <w:szCs w:val="20"/>
          <w:lang w:eastAsia="ru-RU"/>
        </w:rPr>
        <w:t>вание программного обеспечения 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Исполнитель не поддерживает нелицензированное программное обеспечение и не предоставляет лицензии на программное обеспечение. Заказчик самостоятельно обеспечивает программное обеспечение необходимыми лицензиями и правами на использование;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Обновление аппаратных средств </w:t>
      </w:r>
      <w:r w:rsidR="00BB2FEE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Заказчик обязан самостоятельно обновлять аппаратные средства серверной группы и поддерживать их в актуальном состоянии в соответствии с рекомендациями производителя;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Помощь в использовании приложений </w:t>
      </w:r>
      <w:r w:rsidR="00BB2FEE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Советы или обучение настройкам и использованию приложений сторонних производителей, включая создание пользователей для этих приложений и т.п.;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Помощь в поддержке среды прикладных программ – Советы по использованию, поддержке и обслуживанию среды прикладных программ, включая инструментальные средства разработки, прикладное программное обеспечение сервера и баз данных;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Помощь при нестандартных решениях </w:t>
      </w:r>
      <w:r w:rsidR="00BB2FEE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Касается использования Заказчиком нестандартных аппаратных средств или программного обеспечения, не поддерживаемых производителями, что часто является причиной непредсказуемого и неожиданного поведения или ненадежной работы всей Системы;</w:t>
      </w:r>
    </w:p>
    <w:p w:rsidR="008164BF" w:rsidRPr="00220AFE" w:rsidRDefault="008164BF" w:rsidP="00F73D75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Адаптивное обслуживание – Любая деятельность, имеющая отношение к обновлению, модернизации или преобразованию программного обеспечения Системы и выходящая за рамки согласованных технических требований, вследствие установки у Заказчика новых версий среды, прикладного программного обеспечения, включая операционные системы, серверное и клиентское программное обеспечение, базы данных, сетевое оборудование и т.д.</w:t>
      </w:r>
    </w:p>
    <w:p w:rsidR="00D17131" w:rsidRPr="00220AFE" w:rsidRDefault="00D17131" w:rsidP="00D17131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F73D7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Объект сопровождения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Функции Системы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Информационная система управления ИТ-услугами предназначена для автоматизации процессов управления ИТ-услугами, в том числе управления ИТ-активами Заказчика, а также автоматизации следующих ИТ-процессов организации: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каталогом и уровнем услуг;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инцидентами и запросами на обслуживание;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работами;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проблемами;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релизами;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изменениями;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конфигурациями;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активами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персоналом.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Задачи Системы: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</w:t>
      </w:r>
      <w:r w:rsidRPr="00220AFE">
        <w:rPr>
          <w:rFonts w:ascii="Tahoma" w:eastAsiaTheme="minorEastAsia" w:hAnsi="Tahoma" w:cs="Tahoma"/>
          <w:sz w:val="20"/>
          <w:szCs w:val="20"/>
        </w:rPr>
        <w:t>труктурирование деятельности ИТ-подразделений, представив ее в виде Каталога услуг;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Организация учета запросов, поступающих от пользователей, через единую точку контакта – службу «Service Desk»;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Получение аналитической отчетность о поступающих запросах пользователей в разрезе услуг;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Установка и контроль сроков обработки инцидентов и запросов, поступающих от пользователей;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Предоставление клиентам интерфейса и инструмента подачи, отслеживания и оценки качества обработки их запросов;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Поднятие удовлетворенности внутренних и внешних клиентов предоставляемыми услугами;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Корректная оценка возможности по оказанию услуг при заключении Соглашения об уровне услуг;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Учет трудозатрат сотрудников ИТ-подразделений в разрезе услуг/клиентов/сотрудников;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Выполнение и учет регламентных работ по обслуживанию ИТ-инфраструктуры;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Планирование и контролирование изменений в инфраструктуре, информационных системах и предоставляемых ИТ-услугах.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Архитектура Системы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Система ITSM базируется на кластере серверов «1С: Предприятие 8» в клиент-серверном варианте, реализованном на основе трехуровневой архитектуры «клиент-сервер». Такая архитектура разделяет всю работающую систему на основные части, определенным образом взаимодействующие между собой: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Клиентское приложение;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Веб-сервер;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Кластер серверов «1С: Предприятие»;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Кластер серверов баз данных.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Веб-портал Итилиум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Сервером лицензий 1С и Итилиума выступает один из серверов приложения 1С предприятия.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Клиентом системы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выступают браузеры и клиенты 1С, установленные на ПК пользователей системы.</w:t>
      </w:r>
    </w:p>
    <w:p w:rsidR="00396D44" w:rsidRPr="00220AFE" w:rsidRDefault="00396D44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i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Серверный состав системы ITSM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Система располагается в виртуальной инфраструктуре центра обработки данных заказчика. Виртуальные машины, используемые для нужд системы, сконфигурированы и размещены на хостах кластеров, в ресурс-пулах и хранилищах, предоставленных заказчиком.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Все виртуальные машины, используемые для функционирования системы, располагаются в подсетях, обеспечивающих взаимодействие виртуальных машин и функциональных подсистем между собой и служебными сервисами заказчика.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501"/>
      </w:tblGrid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  <w:hideMark/>
          </w:tcPr>
          <w:p w:rsidR="008164BF" w:rsidRPr="00220AFE" w:rsidRDefault="008164BF" w:rsidP="00EA41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EA41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Роль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dmz-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itsm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Публикация продуктивного сервера для внешнего веб-сервиса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msk-itsm-app02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Сервер 1С Предприятия, сервер 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IIS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сервер лицензирования Итилиум и 1С.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msk-itsm-db01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Сервер БД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test17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Тестовая среда. Тестовый сервер Приложений 1С для ИТСМ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Тестовая среда. ИТСМ тест sql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msk-es04-app97</w:t>
            </w:r>
          </w:p>
        </w:tc>
        <w:tc>
          <w:tcPr>
            <w:tcW w:w="3784" w:type="pct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Продуктивная среда bitrix - prod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msk-es04-app96</w:t>
            </w:r>
          </w:p>
        </w:tc>
        <w:tc>
          <w:tcPr>
            <w:tcW w:w="3784" w:type="pct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Тестовая среда bitrix - 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msk-itsm-web01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Форум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msk-es04-ts19</w:t>
            </w:r>
          </w:p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msk-es04-ts20</w:t>
            </w:r>
          </w:p>
        </w:tc>
        <w:tc>
          <w:tcPr>
            <w:tcW w:w="3784" w:type="pct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Продуктивная среда терминалы коллекции ITSM</w:t>
            </w:r>
          </w:p>
        </w:tc>
      </w:tr>
    </w:tbl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Функциональные подсистемы ITSM взаимодействуют с почтовым сервисом заказчика в качестве почтового клиента по протоколам imap или pop для получения почты и smtp 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для отправки. Взаимодействие с доменом осуществляется по протоколу LDAP для прозрачной авторизации в системе и синхронизации справочников бизнес-пользователей и исполнителей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396D44" w:rsidRPr="00220AFE" w:rsidRDefault="00396D44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Режим функционирования Системы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Система функционирует в режиме многопользовательского доступа 24 часа в день, 7 дней в неделю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EA419D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Контактные лица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Перечень контактных лиц определяется в двустороннем порядке и оформляется после заключения договора на техническую поддержку. В случае замены контактных лиц сторона, осуществившая такую замену, должна уведомить противоположную сторону любым доступным способом в течение 2 рабочих дней.</w:t>
      </w: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A419D" w:rsidRPr="00220AFE" w:rsidRDefault="00EA419D">
      <w:pPr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br w:type="page"/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Приложение №1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к Т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ехническому заданию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на оказание услуг по технической поддержке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системы ITSM на платформе Итилиум</w:t>
      </w:r>
      <w:r w:rsidRPr="00220AFE" w:rsidDel="00F857A2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keepNext/>
        <w:tabs>
          <w:tab w:val="left" w:pos="567"/>
        </w:tabs>
        <w:spacing w:after="0" w:line="240" w:lineRule="auto"/>
        <w:jc w:val="center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  <w:r w:rsidRPr="00220AFE"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  <w:t>Правила предоставления технической поддержки</w:t>
      </w:r>
    </w:p>
    <w:p w:rsidR="00EA419D" w:rsidRPr="00220AFE" w:rsidRDefault="00EA419D" w:rsidP="00D21C9A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</w:p>
    <w:p w:rsidR="008164BF" w:rsidRPr="00220AFE" w:rsidRDefault="008164BF" w:rsidP="00D21C9A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Термины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Инцидент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несоответствие фактической работы Системы, предусмотренному в документации, появление окна с сообщением об ошибке, снижение быстродействия или зависание;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Запрос на изменение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="00D21C9A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замечание или предложение, поступившее от Пользователя по работе системы, связанное, в том числе, с изменением (расширением) функциональности системы;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Запрос на обслуживание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изменение содержимого системных справочников, распределение ролей, настройка групп пользователей, правил обработки заявок и нарядов и иные задачи, связанные с настройкой содержимого Системы;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Консультация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(запрос информации) – проведение пояснения Пользователю по работе в Системе, уточнение каких-либо непонятных моментов;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Приоритет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совокупная оценка степени влияния инцидента на бизнес-процессы Заказчика. 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Срок реакции 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–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Обходное решение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="00D21C9A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метод, позволяющий избежать инцидента или проблемы с помощью временного решения или иным способом, устраняющим зависимость Потребителя от проблемных аспектов Системы. 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Эскалация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процедура передачи запроса на более высокий уровень поддержки в случае, если его не удалось разрешить на текущем уровне.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2" w:name="_Toc207425754"/>
      <w:bookmarkStart w:id="3" w:name="_Toc207429794"/>
    </w:p>
    <w:p w:rsidR="008164BF" w:rsidRPr="00220AFE" w:rsidRDefault="008164BF" w:rsidP="00D21C9A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4" w:name="_Toc207429797"/>
      <w:bookmarkStart w:id="5" w:name="_Toc207781768"/>
      <w:bookmarkEnd w:id="2"/>
      <w:bookmarkEnd w:id="3"/>
      <w:r w:rsidRPr="00220AFE">
        <w:rPr>
          <w:rFonts w:ascii="Tahoma" w:eastAsiaTheme="minorEastAsia" w:hAnsi="Tahoma" w:cs="Tahoma"/>
          <w:b/>
          <w:sz w:val="20"/>
          <w:szCs w:val="20"/>
        </w:rPr>
        <w:t>Порядок предоставления услуг</w:t>
      </w:r>
      <w:bookmarkEnd w:id="4"/>
      <w:bookmarkEnd w:id="5"/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Для получения услуг по Договору Заказчик направляет заявки в Систему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. На каждый вопрос Пользователя или на возникающую ошибку в системе оформляется одно Обращение. 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невозможности регистрации и/или обработки Обращения в Системе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, Заказчик подает Заявку в Сервис Деск Исполнителя по электронной почте или по телефону.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Обращение составляется на любое логически обособленное и ясно сформулированное требование Пользователя (специалиста Заказчика) на консультирование, предоставление услуг, поддержку и обслуживание, любое изменение или разрешение возникшей проблемы (ошибки) при работе с Системой.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Заявка может быть отправлена Пользователем в электронном виде на адрес Системы либо заведена самостоятельно, через интерфейс Системы. Порядок и правила оформления Заявок указываются в Правилах предоставления технической поддержки Системы.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Приоритет заявки указывается Заказчиком при подаче заявки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647"/>
      </w:tblGrid>
      <w:tr w:rsidR="008164BF" w:rsidRPr="00220AFE" w:rsidTr="00D21C9A">
        <w:trPr>
          <w:trHeight w:val="413"/>
        </w:trPr>
        <w:tc>
          <w:tcPr>
            <w:tcW w:w="1271" w:type="dxa"/>
            <w:shd w:val="clear" w:color="auto" w:fill="CCCCCC"/>
            <w:vAlign w:val="center"/>
          </w:tcPr>
          <w:p w:rsidR="008164BF" w:rsidRPr="00220AFE" w:rsidRDefault="008164BF" w:rsidP="00D21C9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Приоритет</w:t>
            </w:r>
          </w:p>
        </w:tc>
        <w:tc>
          <w:tcPr>
            <w:tcW w:w="8647" w:type="dxa"/>
            <w:shd w:val="clear" w:color="auto" w:fill="CCCCCC"/>
            <w:vAlign w:val="center"/>
          </w:tcPr>
          <w:p w:rsidR="008164BF" w:rsidRPr="00220AFE" w:rsidRDefault="008164BF" w:rsidP="00D21C9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Описание проблемы</w:t>
            </w:r>
            <w:r w:rsidR="00D21C9A"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 действия Исполнителя по Заявке</w:t>
            </w:r>
          </w:p>
        </w:tc>
      </w:tr>
      <w:tr w:rsidR="008164BF" w:rsidRPr="00220AFE" w:rsidTr="00D21C9A">
        <w:trPr>
          <w:trHeight w:val="986"/>
        </w:trPr>
        <w:tc>
          <w:tcPr>
            <w:tcW w:w="1271" w:type="dxa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Критичный</w:t>
            </w:r>
          </w:p>
        </w:tc>
        <w:tc>
          <w:tcPr>
            <w:tcW w:w="8647" w:type="dxa"/>
            <w:vAlign w:val="center"/>
          </w:tcPr>
          <w:p w:rsidR="008164BF" w:rsidRPr="00220AFE" w:rsidRDefault="008164BF" w:rsidP="00132E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Заявка требует немедленной реакции и имеет критичное влияние на работоспособность приложения и выполнение бизнес-процессов. Приложение неработоспособно у пользователя, либо невозможно выполнение бизнес-процессов пользователем ни при каких условиях. Ситуация немедленно доводится до руководства Исполнителя. Проблема начинает решаться немед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ленно всеми возмож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ны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ми способами и ресурсами Исполнителя до ее полного разрешения.</w:t>
            </w:r>
          </w:p>
        </w:tc>
      </w:tr>
      <w:tr w:rsidR="008164BF" w:rsidRPr="00220AFE" w:rsidTr="00D21C9A">
        <w:trPr>
          <w:trHeight w:val="758"/>
        </w:trPr>
        <w:tc>
          <w:tcPr>
            <w:tcW w:w="1271" w:type="dxa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647" w:type="dxa"/>
            <w:vAlign w:val="center"/>
          </w:tcPr>
          <w:p w:rsidR="008164BF" w:rsidRPr="00220AFE" w:rsidRDefault="008164BF" w:rsidP="00132E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Имеет высокое влияние на работоспособность приложения и выполнение бизнес-процессов. Выполнение бизнес-процессов возможно каким-либо другим путем. Руководство Исполнителя ставится в известность о возникшей проблеме.</w:t>
            </w:r>
          </w:p>
        </w:tc>
      </w:tr>
      <w:tr w:rsidR="008164BF" w:rsidRPr="00220AFE" w:rsidTr="00D21C9A">
        <w:trPr>
          <w:cantSplit/>
          <w:trHeight w:val="70"/>
        </w:trPr>
        <w:tc>
          <w:tcPr>
            <w:tcW w:w="1271" w:type="dxa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647" w:type="dxa"/>
            <w:vAlign w:val="center"/>
          </w:tcPr>
          <w:p w:rsidR="008164BF" w:rsidRPr="00220AFE" w:rsidRDefault="008164BF" w:rsidP="00132E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оказывает большого влияния на работоспособность приложения, минимально задействует функциональность основных бизнес-процессов.</w:t>
            </w:r>
          </w:p>
        </w:tc>
      </w:tr>
      <w:tr w:rsidR="008164BF" w:rsidRPr="00220AFE" w:rsidTr="00D21C9A">
        <w:trPr>
          <w:trHeight w:val="70"/>
        </w:trPr>
        <w:tc>
          <w:tcPr>
            <w:tcW w:w="1271" w:type="dxa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647" w:type="dxa"/>
            <w:vAlign w:val="center"/>
          </w:tcPr>
          <w:p w:rsidR="008164BF" w:rsidRPr="00220AFE" w:rsidRDefault="008164BF" w:rsidP="00132E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Имеет минимальное влияние на работоспособность приложения, не задействует работоспособность основных бизнес-процессов.</w:t>
            </w:r>
          </w:p>
        </w:tc>
      </w:tr>
    </w:tbl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Обработка запросов на обслуживание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При невозможности полностью решить проблему, Исполнитель обязуется предоставить временное или постоянное обходное решение за указанный срок. 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запроса Исполнителем дополнительной информации у Заказчика или необходимости выполнения Заказчиком промежуточных рекомендаций Исполнителя, Инициатор заявки пересылает Исполнителю информацию и результаты выполнения рекомендаций в течение 15 мин с момента отправки запроса. Плановый срок решения автоматически увеличивается на время получения ответа от инициатора по запрошенной дополнительной информации.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процессе разрешения инцидентов могут быть выявлены ошибки в ПО Системы. Все обнаруженные в процессе оказания поддержки ошибки передаются в компанию разработчика Системы и исправляются разработчиком в рамках планируемых внутренних работ.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132E2F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Обработка запросов на изменение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каждой заявке на доработку системы принимается решение о классификации уровня сложности доработки. Исполнитель выполняет этапы работ в соответствии с принятым уровнем сложности доработки: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Простые доработки </w:t>
      </w:r>
      <w:r w:rsidR="00132E2F"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незначительные доработки, не требующие формализации требований.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Допустимые этапы работ:</w:t>
      </w:r>
    </w:p>
    <w:p w:rsidR="008164BF" w:rsidRPr="00220AFE" w:rsidRDefault="008164BF" w:rsidP="00132E2F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Согласование трудоемкости и сроков;</w:t>
      </w:r>
    </w:p>
    <w:p w:rsidR="008164BF" w:rsidRPr="00220AFE" w:rsidRDefault="008164BF" w:rsidP="00132E2F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Выполнение работ;</w:t>
      </w:r>
    </w:p>
    <w:p w:rsidR="008164BF" w:rsidRPr="00220AFE" w:rsidRDefault="008164BF" w:rsidP="00132E2F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Сдача-приемка;</w:t>
      </w:r>
    </w:p>
    <w:p w:rsidR="008164BF" w:rsidRPr="00220AFE" w:rsidRDefault="008164BF" w:rsidP="00132E2F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Завершение обработки заявки.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Сложные доработки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="00132E2F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значительные доработки, требующие формализации требований.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Допустимые этапы работ: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Формализация требований (формирование Листа требований, написание Технического задания);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Согласование функциональности;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Оценка трудоемкости;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Согласование трудоемкости и сроков;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Выполнение работ;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Сдача-приемка;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Заполнение протокола тестовых испытаний;</w:t>
      </w:r>
    </w:p>
    <w:p w:rsidR="008164BF" w:rsidRPr="00220AFE" w:rsidRDefault="008164BF" w:rsidP="00132E2F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Завершение обработки заявки.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Длительность оказания услуг по заявке на доработку зависит от сложности задачи, поэтому устанавливается по соглашению сторон в каждом конкретном случае.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Требования к порядку и способам внесения изменений в конфигурацию Системы определяются Стандартами разработки, принятыми у Исполнителя. 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8164BF" w:rsidRPr="00220AFE" w:rsidRDefault="008164BF" w:rsidP="00132E2F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6" w:name="_Toc207429798"/>
      <w:bookmarkStart w:id="7" w:name="_Toc207781769"/>
      <w:r w:rsidRPr="00220AFE">
        <w:rPr>
          <w:rFonts w:ascii="Tahoma" w:eastAsiaTheme="minorEastAsia" w:hAnsi="Tahoma" w:cs="Tahoma"/>
          <w:b/>
          <w:sz w:val="20"/>
          <w:szCs w:val="20"/>
        </w:rPr>
        <w:t>Время предоставления услуг</w:t>
      </w:r>
      <w:bookmarkEnd w:id="6"/>
      <w:bookmarkEnd w:id="7"/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 при штатной работе Системы</w:t>
      </w:r>
    </w:p>
    <w:p w:rsidR="008164BF" w:rsidRPr="00220AFE" w:rsidRDefault="008164BF" w:rsidP="00132E2F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По рабочим дням (понедельник </w:t>
      </w:r>
      <w:r w:rsidR="00132E2F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пятница) с 07:00 до 16:00 часов (время московское)</w:t>
      </w:r>
      <w:r w:rsidR="00AE08BF" w:rsidRPr="00220AFE">
        <w:rPr>
          <w:rFonts w:ascii="Tahoma" w:eastAsiaTheme="minorEastAsia" w:hAnsi="Tahoma" w:cs="Tahoma"/>
          <w:sz w:val="20"/>
          <w:szCs w:val="20"/>
          <w:lang w:eastAsia="ru-RU"/>
        </w:rPr>
        <w:t>, или по отдельному соглашению.</w:t>
      </w:r>
    </w:p>
    <w:p w:rsidR="008164BF" w:rsidRPr="00220AFE" w:rsidRDefault="008164BF" w:rsidP="00132E2F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праздничные, выходные дни по отдельному соглашению</w:t>
      </w:r>
      <w:r w:rsidR="00AE08BF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8164BF" w:rsidRPr="00220AFE" w:rsidRDefault="008164BF" w:rsidP="00132E2F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8" w:name="_Toc207429799"/>
      <w:bookmarkStart w:id="9" w:name="_Toc207781770"/>
      <w:r w:rsidRPr="00220AFE">
        <w:rPr>
          <w:rFonts w:ascii="Tahoma" w:eastAsiaTheme="minorEastAsia" w:hAnsi="Tahoma" w:cs="Tahoma"/>
          <w:b/>
          <w:sz w:val="20"/>
          <w:szCs w:val="20"/>
        </w:rPr>
        <w:t>Доступность, оперативность сервиса</w:t>
      </w:r>
      <w:bookmarkEnd w:id="8"/>
      <w:bookmarkEnd w:id="9"/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 в рамках предоставления услуг по Договору будет прилагать все усилия для разрешения возникающих у Заказчика проблем в пределах, установленных в данном разделе норм с учетом времени предоставления услуг согласно п. 3.</w:t>
      </w:r>
    </w:p>
    <w:p w:rsidR="008164BF" w:rsidRPr="00220AFE" w:rsidRDefault="008164BF" w:rsidP="00132E2F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Порядок обработки Заявок определяется их приоритетностью. Исполнитель рассматривает Заявки по мере их поступления. В случае если в момент поступления Заявки Исполнителем выполняются работы над другой Заявкой с таким же приоритетом, то новая Заявка ставится в очередь. При необходимости Исполнитель сообщает Заказчику ориентировочный срок рассмотрения Заявки.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b/>
          <w:sz w:val="20"/>
          <w:szCs w:val="20"/>
          <w:highlight w:val="yellow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4.1 Состав услуг, оказываемых Исполнителем в рамках взаимодействия через Итилиум</w:t>
      </w:r>
      <w:r w:rsidRPr="00220AFE" w:rsidDel="006132CC">
        <w:rPr>
          <w:rFonts w:ascii="Tahoma" w:eastAsiaTheme="minorEastAsia" w:hAnsi="Tahoma" w:cs="Tahoma"/>
          <w:b/>
          <w:sz w:val="20"/>
          <w:szCs w:val="20"/>
          <w:highlight w:val="yellow"/>
        </w:rPr>
        <w:t xml:space="preserve"> </w:t>
      </w:r>
    </w:p>
    <w:p w:rsidR="00290A62" w:rsidRPr="00220AFE" w:rsidRDefault="00290A62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</w:p>
    <w:tbl>
      <w:tblPr>
        <w:tblW w:w="10349" w:type="dxa"/>
        <w:tblInd w:w="-289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2978"/>
        <w:gridCol w:w="140"/>
        <w:gridCol w:w="1702"/>
        <w:gridCol w:w="1843"/>
        <w:gridCol w:w="1843"/>
        <w:gridCol w:w="1843"/>
      </w:tblGrid>
      <w:tr w:rsidR="008164BF" w:rsidRPr="00220AFE" w:rsidTr="00290A62">
        <w:trPr>
          <w:trHeight w:val="611"/>
        </w:trPr>
        <w:tc>
          <w:tcPr>
            <w:tcW w:w="29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noWrap/>
            <w:vAlign w:val="center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Поддержка бизнес-приложений (2-3 Линия)</w:t>
            </w:r>
          </w:p>
        </w:tc>
        <w:tc>
          <w:tcPr>
            <w:tcW w:w="1842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Приоритет – Критический</w:t>
            </w:r>
          </w:p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2 Приоритет </w:t>
            </w:r>
            <w:r w:rsidR="00132E2F"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Высокий</w:t>
            </w:r>
          </w:p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3 Приоритет </w:t>
            </w:r>
            <w:r w:rsidR="00132E2F"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Средний</w:t>
            </w:r>
          </w:p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vAlign w:val="center"/>
            <w:hideMark/>
          </w:tcPr>
          <w:p w:rsidR="008164BF" w:rsidRPr="00220AFE" w:rsidRDefault="008164BF" w:rsidP="00132E2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4 Приоритет </w:t>
            </w:r>
            <w:r w:rsidR="00132E2F"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Низкий (рабочий час)</w:t>
            </w:r>
          </w:p>
        </w:tc>
      </w:tr>
      <w:tr w:rsidR="008164BF" w:rsidRPr="00220AFE" w:rsidTr="00290A62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Консультирование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EDEDED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EDEDED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</w:tr>
      <w:tr w:rsidR="008164BF" w:rsidRPr="00220AFE" w:rsidTr="00290A62">
        <w:trPr>
          <w:trHeight w:val="300"/>
        </w:trPr>
        <w:tc>
          <w:tcPr>
            <w:tcW w:w="3118" w:type="dxa"/>
            <w:gridSpan w:val="2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Предоставление/изменение прав доступа</w:t>
            </w:r>
          </w:p>
        </w:tc>
        <w:tc>
          <w:tcPr>
            <w:tcW w:w="1702" w:type="dxa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</w:tr>
      <w:tr w:rsidR="008164BF" w:rsidRPr="00220AFE" w:rsidTr="00290A62">
        <w:trPr>
          <w:trHeight w:val="300"/>
        </w:trPr>
        <w:tc>
          <w:tcPr>
            <w:tcW w:w="3118" w:type="dxa"/>
            <w:gridSpan w:val="2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Устранение некорректных действий пользователей</w:t>
            </w:r>
          </w:p>
        </w:tc>
        <w:tc>
          <w:tcPr>
            <w:tcW w:w="1702" w:type="dxa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8164BF" w:rsidRPr="00220AFE" w:rsidTr="00290A62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Решение проблем/устранение сбоя (Решение Инцидента)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8164BF" w:rsidRPr="00220AFE" w:rsidTr="00290A62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Изменение данных/массовое изменение данных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</w:tr>
    </w:tbl>
    <w:p w:rsidR="008164BF" w:rsidRPr="00220AFE" w:rsidRDefault="008164BF" w:rsidP="00D31CB7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10" w:name="_Toc207429801"/>
      <w:bookmarkStart w:id="11" w:name="_Toc207781772"/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 Управление нештатными ситуациями</w:t>
      </w:r>
      <w:bookmarkEnd w:id="10"/>
      <w:bookmarkEnd w:id="11"/>
    </w:p>
    <w:p w:rsidR="008164BF" w:rsidRPr="00220AFE" w:rsidRDefault="008164BF" w:rsidP="00A42A91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случае если Исполнитель предвидит невозможность исполнения обязательств в соответствии с принятым уровнем сервиса или в полном объеме, Исполнитель должен немедленно уведомить ответственного представителя Заказчика и при необходимости разработать совместный план действий по разрешению нештатной ситуации.</w:t>
      </w:r>
    </w:p>
    <w:p w:rsidR="008164BF" w:rsidRPr="00220AFE" w:rsidRDefault="008164BF" w:rsidP="00A42A91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 должен вести реестр нештатных ситуаций, содержащий основные риски по всем типам услуг, и там, где возможно, механизмы их предотвращения. Исполнитель должен периодически пересматривать реестр и принимать разумные меры для снижения последствий нештатных ситуаций.</w:t>
      </w:r>
    </w:p>
    <w:p w:rsidR="008164BF" w:rsidRPr="00220AFE" w:rsidRDefault="008164BF" w:rsidP="00A42A91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 возникновении нештатной ситуации исполнитель должен реагировать на заявку Заказчика в соответствии с Критичным приоритетом, независимо от Пункта 3 настоящего Приложения и отразить Фактические трудозатраты за Отчетный период в Акте оказанных Услуг.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12" w:name="_Toc207425757"/>
      <w:bookmarkStart w:id="13" w:name="_Toc207429805"/>
      <w:r w:rsidRPr="00220AFE">
        <w:rPr>
          <w:rFonts w:ascii="Tahoma" w:eastAsiaTheme="minorEastAsia" w:hAnsi="Tahoma" w:cs="Tahoma"/>
          <w:b/>
          <w:sz w:val="20"/>
          <w:szCs w:val="20"/>
        </w:rPr>
        <w:t>Регулярная отчётность</w:t>
      </w:r>
      <w:bookmarkEnd w:id="12"/>
      <w:bookmarkEnd w:id="13"/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Ежемесячно Исполнитель обязан предоставлять Заказчику следующую информацию о ходе выполнения работ:</w:t>
      </w:r>
    </w:p>
    <w:p w:rsidR="00290A62" w:rsidRPr="00220AFE" w:rsidRDefault="00290A62" w:rsidP="00D31CB7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5538"/>
        <w:gridCol w:w="1843"/>
        <w:gridCol w:w="1984"/>
      </w:tblGrid>
      <w:tr w:rsidR="008164BF" w:rsidRPr="00220AFE" w:rsidTr="006E64EF">
        <w:trPr>
          <w:tblHeader/>
        </w:trPr>
        <w:tc>
          <w:tcPr>
            <w:tcW w:w="445" w:type="dxa"/>
            <w:shd w:val="clear" w:color="auto" w:fill="CCCCCC"/>
            <w:vAlign w:val="center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38" w:type="dxa"/>
            <w:shd w:val="clear" w:color="auto" w:fill="CCCCCC"/>
            <w:vAlign w:val="center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Порядок предоставления</w:t>
            </w:r>
          </w:p>
        </w:tc>
        <w:tc>
          <w:tcPr>
            <w:tcW w:w="1984" w:type="dxa"/>
            <w:shd w:val="clear" w:color="auto" w:fill="CCCCCC"/>
            <w:vAlign w:val="center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Форма</w:t>
            </w:r>
          </w:p>
        </w:tc>
      </w:tr>
      <w:tr w:rsidR="008164BF" w:rsidRPr="00220AFE" w:rsidTr="006E64EF">
        <w:tc>
          <w:tcPr>
            <w:tcW w:w="445" w:type="dxa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8" w:type="dxa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Ежемесячный отчет о поступивших от Заказчика заявках по вопросам эксплуатации Системы, включающий следующую информацию:</w:t>
            </w:r>
          </w:p>
          <w:p w:rsidR="008164BF" w:rsidRPr="00220AFE" w:rsidRDefault="008164BF" w:rsidP="00A42A91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количество решенных инцидентов и объем часов, затраченных Исполнителем; </w:t>
            </w:r>
          </w:p>
          <w:p w:rsidR="008164BF" w:rsidRPr="00220AFE" w:rsidRDefault="008164BF" w:rsidP="00A42A91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открытые заявки, сроки их решения;</w:t>
            </w:r>
          </w:p>
          <w:p w:rsidR="008164BF" w:rsidRPr="00220AFE" w:rsidRDefault="008164BF" w:rsidP="00A42A91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план работ на следующий месяц; </w:t>
            </w:r>
          </w:p>
          <w:p w:rsidR="008164BF" w:rsidRPr="00220AFE" w:rsidRDefault="008164BF" w:rsidP="00A42A91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жалобы пользователей; </w:t>
            </w:r>
          </w:p>
          <w:p w:rsidR="008164BF" w:rsidRPr="00220AFE" w:rsidRDefault="008164BF" w:rsidP="00A42A91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нарушение сроков реакции и сроков решения (фиксируется количество времени и причина просрочки по каждой заявке); </w:t>
            </w:r>
          </w:p>
          <w:p w:rsidR="008164BF" w:rsidRPr="00220AFE" w:rsidRDefault="008164BF" w:rsidP="00A42A91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замечания и предложения сторон. </w:t>
            </w:r>
          </w:p>
        </w:tc>
        <w:tc>
          <w:tcPr>
            <w:tcW w:w="1843" w:type="dxa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электронном виде </w:t>
            </w:r>
          </w:p>
        </w:tc>
        <w:tc>
          <w:tcPr>
            <w:tcW w:w="1984" w:type="dxa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Информационный отчет</w:t>
            </w:r>
          </w:p>
        </w:tc>
      </w:tr>
      <w:tr w:rsidR="008164BF" w:rsidRPr="00220AFE" w:rsidTr="006E64EF">
        <w:tc>
          <w:tcPr>
            <w:tcW w:w="445" w:type="dxa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8" w:type="dxa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Отчетные бухгалтерские документы о предоставленных услугах за отчетный период</w:t>
            </w:r>
          </w:p>
        </w:tc>
        <w:tc>
          <w:tcPr>
            <w:tcW w:w="1843" w:type="dxa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соответствии с договором</w:t>
            </w:r>
          </w:p>
        </w:tc>
        <w:tc>
          <w:tcPr>
            <w:tcW w:w="1984" w:type="dxa"/>
          </w:tcPr>
          <w:p w:rsidR="008164BF" w:rsidRPr="00220AFE" w:rsidRDefault="008164BF" w:rsidP="00A42A91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Акт оказанных услуг, счет и счет-фактура</w:t>
            </w:r>
          </w:p>
        </w:tc>
      </w:tr>
    </w:tbl>
    <w:p w:rsidR="008164BF" w:rsidRPr="00220AFE" w:rsidRDefault="008164BF" w:rsidP="00D31CB7">
      <w:pPr>
        <w:keepNext/>
        <w:tabs>
          <w:tab w:val="left" w:pos="567"/>
        </w:tabs>
        <w:spacing w:after="0" w:line="240" w:lineRule="auto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37CBD" w:rsidRPr="00220AFE" w:rsidRDefault="00637CBD" w:rsidP="00637CBD">
      <w:pPr>
        <w:spacing w:after="0" w:line="240" w:lineRule="auto"/>
        <w:rPr>
          <w:rFonts w:ascii="Tahoma" w:eastAsiaTheme="minorEastAsia" w:hAnsi="Tahoma" w:cs="Tahoma"/>
          <w:sz w:val="20"/>
          <w:szCs w:val="20"/>
          <w:highlight w:val="green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highlight w:val="green"/>
          <w:lang w:eastAsia="ru-RU"/>
        </w:rPr>
        <w:br w:type="page"/>
      </w:r>
    </w:p>
    <w:p w:rsidR="00D17131" w:rsidRPr="00220AFE" w:rsidRDefault="00D17131" w:rsidP="00637CBD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Приложение №2 к Техническому заданию</w:t>
      </w:r>
    </w:p>
    <w:p w:rsidR="00D17131" w:rsidRPr="00220AFE" w:rsidRDefault="00D17131" w:rsidP="00637CBD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на оказание услуг по технической поддержке</w:t>
      </w:r>
    </w:p>
    <w:p w:rsidR="00D17131" w:rsidRPr="00220AFE" w:rsidRDefault="00D17131" w:rsidP="00637CBD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системы ITSM на платформе Итилиум</w:t>
      </w:r>
    </w:p>
    <w:p w:rsidR="006A1AF1" w:rsidRPr="00220AFE" w:rsidRDefault="006A1AF1" w:rsidP="00637CB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20AFE">
        <w:rPr>
          <w:rFonts w:ascii="Tahoma" w:hAnsi="Tahoma" w:cs="Tahoma"/>
          <w:b/>
          <w:bCs/>
          <w:sz w:val="20"/>
          <w:szCs w:val="20"/>
        </w:rPr>
        <w:t>Чек-лист проведения оценки состояния информационной безопасности при взаимодействии с третьими лицами</w:t>
      </w: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Наименование контрагента: _____________________________________________________</w:t>
      </w: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Предмет договора _____________________________________________________________</w:t>
      </w: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Вопросы распространяются на бизнес-процессы, информационные системы, технические и программные средства, которые будут использованы подрядчиком для обработки информации ПАО «Т Плюс», его зависимых и дочерних компаний.</w:t>
      </w: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Заполняющая сторона гарантирует точность, полноту и достоверность предоставленных ответов.</w:t>
      </w: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Дата заполнения:</w:t>
      </w:r>
      <w:r w:rsidR="00637CBD" w:rsidRPr="00220AFE">
        <w:rPr>
          <w:rFonts w:ascii="Tahoma" w:hAnsi="Tahoma" w:cs="Tahoma"/>
          <w:sz w:val="20"/>
          <w:szCs w:val="20"/>
        </w:rPr>
        <w:t xml:space="preserve"> _______</w:t>
      </w:r>
      <w:r w:rsidRPr="00220AFE">
        <w:rPr>
          <w:rFonts w:ascii="Tahoma" w:hAnsi="Tahoma" w:cs="Tahoma"/>
          <w:sz w:val="20"/>
          <w:szCs w:val="20"/>
        </w:rPr>
        <w:t>_____________________________________________________</w:t>
      </w:r>
    </w:p>
    <w:p w:rsidR="00D17131" w:rsidRPr="00220AFE" w:rsidRDefault="00D17131" w:rsidP="00637CB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17131" w:rsidRPr="00220AFE" w:rsidRDefault="00D17131" w:rsidP="00637CB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Кем заполнено (ФИО, Должность): ___________________________________</w:t>
      </w:r>
      <w:r w:rsidR="00637CBD" w:rsidRPr="00220AFE">
        <w:rPr>
          <w:rFonts w:ascii="Tahoma" w:hAnsi="Tahoma" w:cs="Tahoma"/>
          <w:sz w:val="20"/>
          <w:szCs w:val="20"/>
        </w:rPr>
        <w:t>___________</w:t>
      </w:r>
    </w:p>
    <w:p w:rsidR="00637CBD" w:rsidRPr="00220AFE" w:rsidRDefault="00637CBD" w:rsidP="00637CB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W w:w="9793" w:type="dxa"/>
        <w:tblLook w:val="04A0" w:firstRow="1" w:lastRow="0" w:firstColumn="1" w:lastColumn="0" w:noHBand="0" w:noVBand="1"/>
      </w:tblPr>
      <w:tblGrid>
        <w:gridCol w:w="591"/>
        <w:gridCol w:w="3799"/>
        <w:gridCol w:w="2639"/>
        <w:gridCol w:w="18"/>
        <w:gridCol w:w="2728"/>
        <w:gridCol w:w="18"/>
      </w:tblGrid>
      <w:tr w:rsidR="00D17131" w:rsidRPr="00220AFE" w:rsidTr="00637CBD">
        <w:trPr>
          <w:gridAfter w:val="1"/>
          <w:wAfter w:w="18" w:type="dxa"/>
          <w:tblHeader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:rsidR="00D17131" w:rsidRPr="00220AFE" w:rsidRDefault="00D17131" w:rsidP="00637CB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9" w:type="dxa"/>
            <w:shd w:val="clear" w:color="auto" w:fill="F2F2F2" w:themeFill="background1" w:themeFillShade="F2"/>
            <w:vAlign w:val="center"/>
          </w:tcPr>
          <w:p w:rsidR="00D17131" w:rsidRPr="00220AFE" w:rsidRDefault="00D17131" w:rsidP="00637CB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Вопрос</w:t>
            </w:r>
          </w:p>
        </w:tc>
        <w:tc>
          <w:tcPr>
            <w:tcW w:w="2639" w:type="dxa"/>
            <w:shd w:val="clear" w:color="auto" w:fill="F2F2F2" w:themeFill="background1" w:themeFillShade="F2"/>
            <w:vAlign w:val="center"/>
          </w:tcPr>
          <w:p w:rsidR="00D17131" w:rsidRPr="00220AFE" w:rsidRDefault="00D17131" w:rsidP="00637CB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Ответ</w:t>
            </w:r>
          </w:p>
        </w:tc>
        <w:tc>
          <w:tcPr>
            <w:tcW w:w="2746" w:type="dxa"/>
            <w:gridSpan w:val="2"/>
            <w:shd w:val="clear" w:color="auto" w:fill="F2F2F2" w:themeFill="background1" w:themeFillShade="F2"/>
            <w:vAlign w:val="center"/>
          </w:tcPr>
          <w:p w:rsidR="00D17131" w:rsidRPr="00220AFE" w:rsidRDefault="00D17131" w:rsidP="00637CB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Подтверждающий документ</w:t>
            </w: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организации установлены внутренние требования по информационной безопасности?</w:t>
            </w:r>
          </w:p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В каких областях (</w:t>
            </w:r>
            <w:r w:rsidR="00637CBD" w:rsidRPr="00220AFE">
              <w:rPr>
                <w:rFonts w:ascii="Tahoma" w:hAnsi="Tahoma" w:cs="Tahoma"/>
                <w:sz w:val="20"/>
                <w:szCs w:val="20"/>
              </w:rPr>
              <w:t>например,</w:t>
            </w:r>
            <w:r w:rsidRPr="00220AFE">
              <w:rPr>
                <w:rFonts w:ascii="Tahoma" w:hAnsi="Tahoma" w:cs="Tahoma"/>
                <w:sz w:val="20"/>
                <w:szCs w:val="20"/>
              </w:rPr>
              <w:t xml:space="preserve"> управление доступом,  </w:t>
            </w:r>
          </w:p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 xml:space="preserve">учет информационных ресурсов, </w:t>
            </w:r>
          </w:p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управление уязвимостями, защита от вредоносного ПО и т.п.) установлены требования по информационной безопасности?</w:t>
            </w:r>
          </w:p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 давно пересматривались требования по данным областям?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Назначено ли в Вашей компании лицо, ответственное за обеспечение информационной безопасности?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обеспечиваются меры по предотвращению неавторизованного физического доступа посторонних лиц в помещения, используемые для обработки конфиденциальной информации?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456" w:type="dxa"/>
            <w:gridSpan w:val="3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Опишите, каким образом в Вашей компании обеспечивается управление правами доступа, в том числе:</w:t>
            </w: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(общий порядок) выдаются и отзываются права доступа пользователей к информационным ресурсам?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контролируется корректность выполнения процедур выдачи и отзыва прав доступа?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Используются ли в вашей компании средства автоматического управления доступом пользователей к информационным ресурсам?</w:t>
            </w:r>
          </w:p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Какие функции реализуют эти средства?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Установлены ли минимальные требования к паролям?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4.</w:t>
            </w:r>
            <w:r w:rsidRPr="00220AF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встроенными учетными записями технических и программных средств?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5.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защищаются рабочие станции и сервера, от вредоносного программного обеспечения? Какова частота обновления антивирусных баз?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регламентирование установки и использования программного обеспечения (неиспользование не разрешенного ПО)?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7.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конфигурациями технических средств и программного обеспечения?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уязвимостями (анализ и устранение) технических средств и программного обеспечения?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(контроль использования, запрет использования в определенных случаях, применяемые стандарты безопасности при настройке, и т.п.) беспроводными сетями?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(использование для работы с корпоративными ресурсами, служебные устройства, меры обеспечения защиты при использовании устройства и т.п.) мобильными устройствами?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резервное копирование и восстановление информации?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доводятся до сотрудников требования по информационной безопасности?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реализован контроль подключения периферийных устройств к портам рабочих станций и серверов?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обеспечивается регистрация и мониторинг событий безопасности?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реализована защита периметра корпоративной сети?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обеспечивается управление инцидентами информационной безопасности? В какой срок обеспечивается расследование инцидентов? Какие стороны уведомляются в случае обнаружения инцидента?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7131" w:rsidRPr="00220AFE" w:rsidTr="00637CBD">
        <w:trPr>
          <w:gridAfter w:val="1"/>
          <w:wAfter w:w="18" w:type="dxa"/>
        </w:trPr>
        <w:tc>
          <w:tcPr>
            <w:tcW w:w="591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79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уничтожается информация в случае утраты необходимости в её обработке (уничтожение персональных данных или иной конфиденциальной информации)?</w:t>
            </w:r>
          </w:p>
        </w:tc>
        <w:tc>
          <w:tcPr>
            <w:tcW w:w="2639" w:type="dxa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D17131" w:rsidRPr="00220AFE" w:rsidRDefault="00D17131" w:rsidP="00637CB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17131" w:rsidRPr="00220AFE" w:rsidRDefault="00D17131" w:rsidP="00D17131">
      <w:pPr>
        <w:rPr>
          <w:rFonts w:ascii="Tahoma" w:hAnsi="Tahoma" w:cs="Tahoma"/>
          <w:sz w:val="20"/>
          <w:szCs w:val="20"/>
        </w:rPr>
      </w:pPr>
    </w:p>
    <w:p w:rsidR="00D17131" w:rsidRPr="00220AFE" w:rsidRDefault="00D17131" w:rsidP="00D17131">
      <w:pPr>
        <w:tabs>
          <w:tab w:val="left" w:pos="317"/>
        </w:tabs>
        <w:spacing w:after="120" w:line="240" w:lineRule="auto"/>
        <w:jc w:val="both"/>
        <w:rPr>
          <w:rFonts w:ascii="Tahoma" w:eastAsia="Times New Roman" w:hAnsi="Tahoma" w:cs="Tahoma"/>
          <w:color w:val="1F4E79" w:themeColor="accent1" w:themeShade="80"/>
          <w:sz w:val="20"/>
          <w:szCs w:val="20"/>
          <w:lang w:eastAsia="ru-RU"/>
        </w:rPr>
      </w:pPr>
    </w:p>
    <w:p w:rsidR="006A1AF1" w:rsidRPr="00220AFE" w:rsidRDefault="006A1AF1" w:rsidP="00D17131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C2A47" w:rsidRPr="00220AFE" w:rsidRDefault="000C2A47" w:rsidP="00D31CB7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A1AF1" w:rsidRPr="00220AFE" w:rsidSect="008164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D38" w:rsidRDefault="00A73D38" w:rsidP="006A1AF1">
      <w:pPr>
        <w:spacing w:after="0" w:line="240" w:lineRule="auto"/>
      </w:pPr>
      <w:r>
        <w:separator/>
      </w:r>
    </w:p>
  </w:endnote>
  <w:endnote w:type="continuationSeparator" w:id="0">
    <w:p w:rsidR="00A73D38" w:rsidRDefault="00A73D38" w:rsidP="006A1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D38" w:rsidRDefault="00A73D38" w:rsidP="006A1AF1">
      <w:pPr>
        <w:spacing w:after="0" w:line="240" w:lineRule="auto"/>
      </w:pPr>
      <w:r>
        <w:separator/>
      </w:r>
    </w:p>
  </w:footnote>
  <w:footnote w:type="continuationSeparator" w:id="0">
    <w:p w:rsidR="00A73D38" w:rsidRDefault="00A73D38" w:rsidP="006A1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816B68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3" w15:restartNumberingAfterBreak="0">
    <w:nsid w:val="16381CF9"/>
    <w:multiLevelType w:val="hybridMultilevel"/>
    <w:tmpl w:val="754AF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F06CE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4BA14AB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8563F2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9" w15:restartNumberingAfterBreak="0">
    <w:nsid w:val="532E518A"/>
    <w:multiLevelType w:val="hybridMultilevel"/>
    <w:tmpl w:val="C802A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A840BB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1" w15:restartNumberingAfterBreak="0">
    <w:nsid w:val="5A1E05CC"/>
    <w:multiLevelType w:val="hybridMultilevel"/>
    <w:tmpl w:val="09A67D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0E6DF5"/>
    <w:multiLevelType w:val="hybridMultilevel"/>
    <w:tmpl w:val="53A08AB4"/>
    <w:lvl w:ilvl="0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13" w15:restartNumberingAfterBreak="0">
    <w:nsid w:val="62E07C65"/>
    <w:multiLevelType w:val="multilevel"/>
    <w:tmpl w:val="D310B10A"/>
    <w:lvl w:ilvl="0">
      <w:start w:val="1"/>
      <w:numFmt w:val="decimal"/>
      <w:pStyle w:val="1"/>
      <w:lvlText w:val="%1."/>
      <w:lvlJc w:val="left"/>
      <w:pPr>
        <w:ind w:left="5889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pStyle w:val="2"/>
      <w:isLgl/>
      <w:lvlText w:val="%1.%2"/>
      <w:lvlJc w:val="left"/>
      <w:pPr>
        <w:ind w:left="1320" w:hanging="60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6E306DA1"/>
    <w:multiLevelType w:val="hybridMultilevel"/>
    <w:tmpl w:val="33D8532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70AA5"/>
    <w:multiLevelType w:val="multilevel"/>
    <w:tmpl w:val="686A1138"/>
    <w:lvl w:ilvl="0">
      <w:start w:val="1"/>
      <w:numFmt w:val="decimal"/>
      <w:lvlText w:val="%1.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D946761"/>
    <w:multiLevelType w:val="hybridMultilevel"/>
    <w:tmpl w:val="9808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DC622A"/>
    <w:multiLevelType w:val="hybridMultilevel"/>
    <w:tmpl w:val="47FAC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19"/>
  </w:num>
  <w:num w:numId="7">
    <w:abstractNumId w:val="17"/>
  </w:num>
  <w:num w:numId="8">
    <w:abstractNumId w:val="6"/>
  </w:num>
  <w:num w:numId="9">
    <w:abstractNumId w:val="5"/>
  </w:num>
  <w:num w:numId="10">
    <w:abstractNumId w:val="13"/>
  </w:num>
  <w:num w:numId="11">
    <w:abstractNumId w:val="18"/>
  </w:num>
  <w:num w:numId="12">
    <w:abstractNumId w:val="20"/>
  </w:num>
  <w:num w:numId="13">
    <w:abstractNumId w:val="9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  <w:num w:numId="18">
    <w:abstractNumId w:val="11"/>
  </w:num>
  <w:num w:numId="19">
    <w:abstractNumId w:val="2"/>
  </w:num>
  <w:num w:numId="20">
    <w:abstractNumId w:val="12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F1"/>
    <w:rsid w:val="000C2A47"/>
    <w:rsid w:val="000F67D0"/>
    <w:rsid w:val="00132E2F"/>
    <w:rsid w:val="001E4478"/>
    <w:rsid w:val="00204A54"/>
    <w:rsid w:val="00220AFE"/>
    <w:rsid w:val="00290A62"/>
    <w:rsid w:val="002D17A2"/>
    <w:rsid w:val="00396D44"/>
    <w:rsid w:val="00450D1A"/>
    <w:rsid w:val="0047708E"/>
    <w:rsid w:val="00637CBD"/>
    <w:rsid w:val="00667D26"/>
    <w:rsid w:val="006A1AF1"/>
    <w:rsid w:val="006E64EF"/>
    <w:rsid w:val="006F51B5"/>
    <w:rsid w:val="008060F6"/>
    <w:rsid w:val="008164BF"/>
    <w:rsid w:val="008912CE"/>
    <w:rsid w:val="00A16AF9"/>
    <w:rsid w:val="00A42A91"/>
    <w:rsid w:val="00A73D38"/>
    <w:rsid w:val="00AA0391"/>
    <w:rsid w:val="00AE08BF"/>
    <w:rsid w:val="00B60D90"/>
    <w:rsid w:val="00BB16D3"/>
    <w:rsid w:val="00BB2FEE"/>
    <w:rsid w:val="00BC7D2A"/>
    <w:rsid w:val="00C17765"/>
    <w:rsid w:val="00CC1A85"/>
    <w:rsid w:val="00CC3036"/>
    <w:rsid w:val="00CD36BF"/>
    <w:rsid w:val="00D17131"/>
    <w:rsid w:val="00D21C9A"/>
    <w:rsid w:val="00D31CB7"/>
    <w:rsid w:val="00D9318B"/>
    <w:rsid w:val="00DC7193"/>
    <w:rsid w:val="00DE4586"/>
    <w:rsid w:val="00EA419D"/>
    <w:rsid w:val="00ED07BC"/>
    <w:rsid w:val="00F722AB"/>
    <w:rsid w:val="00F73D75"/>
    <w:rsid w:val="00FD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0D8F2-C570-4F38-B872-BFCBEE8E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F1"/>
  </w:style>
  <w:style w:type="paragraph" w:styleId="10">
    <w:name w:val="heading 1"/>
    <w:basedOn w:val="a"/>
    <w:next w:val="a"/>
    <w:link w:val="11"/>
    <w:uiPriority w:val="9"/>
    <w:qFormat/>
    <w:rsid w:val="008164B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,ДВУХУРОВНЕВЫЙ МАРКИР,SL_Абзац списка,Абзац списка литеральный,it_List1,Bullet List,FooterText,numbered,Paragraphe de liste1,lp1,b,c"/>
    <w:basedOn w:val="a"/>
    <w:link w:val="a5"/>
    <w:uiPriority w:val="34"/>
    <w:qFormat/>
    <w:rsid w:val="006A1AF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A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6A1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A1AF1"/>
    <w:rPr>
      <w:rFonts w:ascii="Times New Roman" w:hAnsi="Times New Roman" w:cs="Times New Roman" w:hint="default"/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8164BF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1">
    <w:name w:val="Моя структура 1"/>
    <w:basedOn w:val="a4"/>
    <w:link w:val="12"/>
    <w:qFormat/>
    <w:rsid w:val="008164BF"/>
    <w:pPr>
      <w:numPr>
        <w:numId w:val="10"/>
      </w:numPr>
      <w:spacing w:before="120" w:after="200" w:line="276" w:lineRule="auto"/>
      <w:jc w:val="both"/>
      <w:outlineLvl w:val="0"/>
    </w:pPr>
    <w:rPr>
      <w:rFonts w:ascii="Times New Roman" w:eastAsiaTheme="minorEastAsia" w:hAnsi="Times New Roman"/>
      <w:b/>
    </w:rPr>
  </w:style>
  <w:style w:type="paragraph" w:customStyle="1" w:styleId="2">
    <w:name w:val="Моя структура 2"/>
    <w:basedOn w:val="1"/>
    <w:link w:val="20"/>
    <w:qFormat/>
    <w:rsid w:val="008164BF"/>
    <w:pPr>
      <w:numPr>
        <w:ilvl w:val="1"/>
      </w:numPr>
      <w:spacing w:before="240"/>
    </w:p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ДВУХУРОВНЕВЫЙ МАРКИР Знак,SL_Абзац списка Знак,Абзац списка литеральный Знак,lp1 Знак"/>
    <w:basedOn w:val="a0"/>
    <w:link w:val="a4"/>
    <w:uiPriority w:val="34"/>
    <w:qFormat/>
    <w:locked/>
    <w:rsid w:val="008164BF"/>
  </w:style>
  <w:style w:type="character" w:customStyle="1" w:styleId="12">
    <w:name w:val="Моя структура 1 Знак"/>
    <w:basedOn w:val="a5"/>
    <w:link w:val="1"/>
    <w:locked/>
    <w:rsid w:val="008164BF"/>
    <w:rPr>
      <w:rFonts w:ascii="Times New Roman" w:eastAsiaTheme="minorEastAsia" w:hAnsi="Times New Roman"/>
      <w:b/>
    </w:rPr>
  </w:style>
  <w:style w:type="character" w:customStyle="1" w:styleId="20">
    <w:name w:val="Моя структура 2 Знак"/>
    <w:basedOn w:val="a5"/>
    <w:link w:val="2"/>
    <w:locked/>
    <w:rsid w:val="008164BF"/>
    <w:rPr>
      <w:rFonts w:ascii="Times New Roman" w:eastAsiaTheme="minorEastAsia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4346</Words>
  <Characters>24775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Малых Юлия Викторовна</cp:lastModifiedBy>
  <cp:revision>32</cp:revision>
  <dcterms:created xsi:type="dcterms:W3CDTF">2023-10-17T08:21:00Z</dcterms:created>
  <dcterms:modified xsi:type="dcterms:W3CDTF">2023-11-02T10:57:00Z</dcterms:modified>
</cp:coreProperties>
</file>